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B46FA" w14:textId="1E7CF309" w:rsidR="00F34918" w:rsidRDefault="00F34918">
      <w:bookmarkStart w:id="0" w:name="_GoBack"/>
      <w:bookmarkEnd w:id="0"/>
    </w:p>
    <w:p w14:paraId="668E0CFD" w14:textId="605CBE7C" w:rsidR="00F63F52" w:rsidRPr="00B87911" w:rsidRDefault="00B34C52" w:rsidP="00F63F52">
      <w:pPr>
        <w:jc w:val="center"/>
        <w:rPr>
          <w:rFonts w:cstheme="minorHAnsi"/>
          <w:b/>
          <w:bCs/>
          <w:sz w:val="28"/>
          <w:szCs w:val="28"/>
        </w:rPr>
      </w:pPr>
      <w:r w:rsidRPr="00B87911">
        <w:rPr>
          <w:rFonts w:cstheme="minorHAnsi"/>
          <w:b/>
          <w:bCs/>
          <w:sz w:val="28"/>
          <w:szCs w:val="28"/>
        </w:rPr>
        <w:t xml:space="preserve">NOTA </w:t>
      </w:r>
      <w:r w:rsidR="00F63F52" w:rsidRPr="00B87911">
        <w:rPr>
          <w:rFonts w:cstheme="minorHAnsi"/>
          <w:b/>
          <w:bCs/>
          <w:sz w:val="28"/>
          <w:szCs w:val="28"/>
        </w:rPr>
        <w:t>di GREENPEACE ITALIA</w:t>
      </w:r>
    </w:p>
    <w:p w14:paraId="71D5DD3E" w14:textId="546E3DAB" w:rsidR="00F63F52" w:rsidRPr="00B87911" w:rsidRDefault="00F63F52" w:rsidP="00F63F52">
      <w:pPr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B87911">
        <w:rPr>
          <w:rFonts w:eastAsia="Times New Roman" w:cstheme="minorHAnsi"/>
          <w:b/>
          <w:bCs/>
          <w:color w:val="202124"/>
          <w:sz w:val="28"/>
          <w:szCs w:val="28"/>
          <w:shd w:val="clear" w:color="auto" w:fill="FFFFFF"/>
          <w:lang w:eastAsia="it-IT"/>
        </w:rPr>
        <w:t>Audizione COMMISSIONI RIUNITE I E VIII - C. 3146 (DL 77/2021) del 17 giugno 2021</w:t>
      </w:r>
    </w:p>
    <w:p w14:paraId="3A84552B" w14:textId="34958591" w:rsidR="002A4CDA" w:rsidRPr="00B87911" w:rsidRDefault="002A4CDA">
      <w:pPr>
        <w:rPr>
          <w:b/>
          <w:bCs/>
          <w:sz w:val="28"/>
          <w:szCs w:val="28"/>
        </w:rPr>
      </w:pPr>
    </w:p>
    <w:p w14:paraId="5F492CC2" w14:textId="53DEE092" w:rsidR="002A4CDA" w:rsidRDefault="002A4CDA" w:rsidP="002A4CDA">
      <w:pPr>
        <w:jc w:val="both"/>
        <w:rPr>
          <w:rFonts w:cstheme="minorHAnsi"/>
        </w:rPr>
      </w:pPr>
      <w:r w:rsidRPr="002A4CDA">
        <w:t xml:space="preserve">Come noto, Greenpeace ha espresso una posizione fortemente critica rispetto ai contenuti del </w:t>
      </w:r>
      <w:r w:rsidRPr="002A4CDA">
        <w:rPr>
          <w:rFonts w:cstheme="minorHAnsi"/>
        </w:rPr>
        <w:t xml:space="preserve">Piano di Ripresa italiana che, come si legge in un </w:t>
      </w:r>
      <w:hyperlink r:id="rId7" w:history="1">
        <w:r w:rsidRPr="00F63F52">
          <w:rPr>
            <w:rStyle w:val="Collegamentoipertestuale"/>
            <w:rFonts w:cstheme="minorHAnsi"/>
          </w:rPr>
          <w:t>documento redatto assieme ad altre Associazioni</w:t>
        </w:r>
      </w:hyperlink>
      <w:r w:rsidRPr="002A4CDA">
        <w:rPr>
          <w:rFonts w:cstheme="minorHAnsi"/>
        </w:rPr>
        <w:t>, “</w:t>
      </w:r>
      <w:r w:rsidRPr="002A4CDA">
        <w:rPr>
          <w:rFonts w:cstheme="minorHAnsi"/>
          <w:i/>
          <w:iCs/>
        </w:rPr>
        <w:t>non è un piano significativo per il clima; non riesce a identificare nei settori della decarbonizzazione il volano per la ripresa economica sostenibile e non è incisivo nell’allocazione delle risorse e nelle riforme per innovare i settori pilastro della decarbonizzazione</w:t>
      </w:r>
      <w:r w:rsidRPr="002A4CDA">
        <w:rPr>
          <w:rFonts w:cstheme="minorHAnsi"/>
        </w:rPr>
        <w:t>”.</w:t>
      </w:r>
    </w:p>
    <w:p w14:paraId="285A151C" w14:textId="22E8A55F" w:rsidR="00F83E4C" w:rsidRDefault="00F83E4C" w:rsidP="002A4CDA">
      <w:pPr>
        <w:jc w:val="both"/>
        <w:rPr>
          <w:rFonts w:cstheme="minorHAnsi"/>
        </w:rPr>
      </w:pPr>
    </w:p>
    <w:p w14:paraId="521CEAF4" w14:textId="0C32BE5C" w:rsidR="00F83E4C" w:rsidRDefault="00F83E4C" w:rsidP="002A4CDA">
      <w:pPr>
        <w:jc w:val="both"/>
        <w:rPr>
          <w:rFonts w:cstheme="minorHAnsi"/>
        </w:rPr>
      </w:pPr>
      <w:r>
        <w:rPr>
          <w:rFonts w:cstheme="minorHAnsi"/>
        </w:rPr>
        <w:t xml:space="preserve">In particolare, Greenpeace ha elaborato uno specifico </w:t>
      </w:r>
      <w:hyperlink r:id="rId8" w:history="1">
        <w:r w:rsidRPr="00F83E4C">
          <w:rPr>
            <w:rStyle w:val="Collegamentoipertestuale"/>
            <w:rFonts w:cstheme="minorHAnsi"/>
          </w:rPr>
          <w:t>scenario energetico</w:t>
        </w:r>
      </w:hyperlink>
      <w:r>
        <w:rPr>
          <w:rFonts w:cstheme="minorHAnsi"/>
        </w:rPr>
        <w:t xml:space="preserve"> che prospetta un percorso di decarbonizzazione del Paese in linea con gli obiettivi dell’Accordo di Parigi.</w:t>
      </w:r>
    </w:p>
    <w:p w14:paraId="7D29327E" w14:textId="3082FFEA" w:rsidR="002A4CDA" w:rsidRDefault="002A4CDA" w:rsidP="002A4CDA">
      <w:pPr>
        <w:jc w:val="both"/>
        <w:rPr>
          <w:rFonts w:cstheme="minorHAnsi"/>
        </w:rPr>
      </w:pPr>
    </w:p>
    <w:p w14:paraId="2CA07C77" w14:textId="17BC5F7C" w:rsidR="002A4CDA" w:rsidRDefault="002A4CDA" w:rsidP="002A4CDA">
      <w:pPr>
        <w:jc w:val="both"/>
        <w:rPr>
          <w:rFonts w:cstheme="minorHAnsi"/>
        </w:rPr>
      </w:pPr>
      <w:r>
        <w:rPr>
          <w:rFonts w:cstheme="minorHAnsi"/>
        </w:rPr>
        <w:t xml:space="preserve">Oltre a una fase di elaborazione piuttosto opaca (anche rispetto alle procedure adottate da altri Stati Membri dell’Unione) lamentiamo una </w:t>
      </w:r>
      <w:r w:rsidRPr="00F63F52">
        <w:rPr>
          <w:rFonts w:cstheme="minorHAnsi"/>
          <w:b/>
          <w:bCs/>
        </w:rPr>
        <w:t>visione strategica non chiara</w:t>
      </w:r>
      <w:r>
        <w:rPr>
          <w:rFonts w:cstheme="minorHAnsi"/>
        </w:rPr>
        <w:t xml:space="preserve">, con ampi margini ai </w:t>
      </w:r>
      <w:r w:rsidRPr="00E144E2">
        <w:rPr>
          <w:rFonts w:cstheme="minorHAnsi"/>
        </w:rPr>
        <w:t>progetti successivi, c</w:t>
      </w:r>
      <w:r>
        <w:rPr>
          <w:rFonts w:cstheme="minorHAnsi"/>
        </w:rPr>
        <w:t>on una notevole</w:t>
      </w:r>
      <w:r w:rsidRPr="00E144E2">
        <w:rPr>
          <w:rFonts w:cstheme="minorHAnsi"/>
        </w:rPr>
        <w:t xml:space="preserve"> discrezionalità</w:t>
      </w:r>
      <w:r>
        <w:rPr>
          <w:rFonts w:cstheme="minorHAnsi"/>
        </w:rPr>
        <w:t xml:space="preserve">: è difficile, a nostro avviso, che si riesca a </w:t>
      </w:r>
      <w:r w:rsidRPr="00E144E2">
        <w:rPr>
          <w:rFonts w:cstheme="minorHAnsi"/>
        </w:rPr>
        <w:t>perseguire con decisione il percorso verso l’azzeramento delle emissioni di carbonio</w:t>
      </w:r>
      <w:r>
        <w:rPr>
          <w:rFonts w:cstheme="minorHAnsi"/>
        </w:rPr>
        <w:t xml:space="preserve">. </w:t>
      </w:r>
    </w:p>
    <w:p w14:paraId="30A7CD8C" w14:textId="308541DC" w:rsidR="002A4CDA" w:rsidRDefault="002A4CDA" w:rsidP="002A4CDA">
      <w:pPr>
        <w:jc w:val="both"/>
        <w:rPr>
          <w:rFonts w:cstheme="minorHAnsi"/>
        </w:rPr>
      </w:pPr>
    </w:p>
    <w:p w14:paraId="6FDCF705" w14:textId="666B79C5" w:rsidR="002A4CDA" w:rsidRDefault="002A4CDA" w:rsidP="002A4CDA">
      <w:pPr>
        <w:jc w:val="both"/>
        <w:rPr>
          <w:rFonts w:cstheme="minorHAnsi"/>
        </w:rPr>
      </w:pPr>
      <w:r w:rsidRPr="002A4CDA">
        <w:rPr>
          <w:rFonts w:cstheme="minorHAnsi"/>
        </w:rPr>
        <w:t xml:space="preserve">In particolare, riguardo alla </w:t>
      </w:r>
      <w:proofErr w:type="spellStart"/>
      <w:r w:rsidRPr="00F63F52">
        <w:rPr>
          <w:rFonts w:cstheme="minorHAnsi"/>
          <w:b/>
          <w:bCs/>
          <w:i/>
          <w:iCs/>
        </w:rPr>
        <w:t>governance</w:t>
      </w:r>
      <w:proofErr w:type="spellEnd"/>
      <w:r w:rsidRPr="002A4CDA">
        <w:rPr>
          <w:rFonts w:cstheme="minorHAnsi"/>
        </w:rPr>
        <w:t xml:space="preserve"> del progetto </w:t>
      </w:r>
      <w:r>
        <w:rPr>
          <w:rFonts w:cstheme="minorHAnsi"/>
        </w:rPr>
        <w:t xml:space="preserve">il documento su menzionato rileva l’assenza di meccanismi </w:t>
      </w:r>
      <w:r w:rsidRPr="002A4CDA">
        <w:rPr>
          <w:rFonts w:cstheme="minorHAnsi"/>
        </w:rPr>
        <w:t>che metta</w:t>
      </w:r>
      <w:r>
        <w:rPr>
          <w:rFonts w:cstheme="minorHAnsi"/>
        </w:rPr>
        <w:t>no</w:t>
      </w:r>
      <w:r w:rsidRPr="002A4CDA">
        <w:rPr>
          <w:rFonts w:cstheme="minorHAnsi"/>
        </w:rPr>
        <w:t xml:space="preserve"> in relazione le misure con gli obiettivi climatici, in termini di spesa, impatto e monitoraggio. </w:t>
      </w:r>
      <w:r w:rsidR="008334B2">
        <w:rPr>
          <w:rFonts w:cstheme="minorHAnsi"/>
        </w:rPr>
        <w:t xml:space="preserve">Sul tema, segnaliamo il </w:t>
      </w:r>
      <w:hyperlink r:id="rId9" w:history="1">
        <w:r w:rsidR="008334B2" w:rsidRPr="008334B2">
          <w:rPr>
            <w:rStyle w:val="Collegamentoipertestuale"/>
            <w:rFonts w:cstheme="minorHAnsi"/>
          </w:rPr>
          <w:t xml:space="preserve">rapporto della Open </w:t>
        </w:r>
        <w:proofErr w:type="spellStart"/>
        <w:r w:rsidR="008334B2" w:rsidRPr="008334B2">
          <w:rPr>
            <w:rStyle w:val="Collegamentoipertestuale"/>
            <w:rFonts w:cstheme="minorHAnsi"/>
          </w:rPr>
          <w:t>Procurement</w:t>
        </w:r>
        <w:proofErr w:type="spellEnd"/>
        <w:r w:rsidR="008334B2" w:rsidRPr="008334B2">
          <w:rPr>
            <w:rStyle w:val="Collegamentoipertestuale"/>
            <w:rFonts w:cstheme="minorHAnsi"/>
          </w:rPr>
          <w:t xml:space="preserve"> EU </w:t>
        </w:r>
        <w:proofErr w:type="spellStart"/>
        <w:r w:rsidR="008334B2" w:rsidRPr="008334B2">
          <w:rPr>
            <w:rStyle w:val="Collegamentoipertestuale"/>
            <w:rFonts w:cstheme="minorHAnsi"/>
          </w:rPr>
          <w:t>Coalition</w:t>
        </w:r>
        <w:proofErr w:type="spellEnd"/>
      </w:hyperlink>
      <w:r w:rsidR="008334B2">
        <w:rPr>
          <w:rFonts w:cstheme="minorHAnsi"/>
        </w:rPr>
        <w:t xml:space="preserve"> (con una valutazione sulla trasparenza della </w:t>
      </w:r>
      <w:proofErr w:type="spellStart"/>
      <w:r w:rsidR="008334B2">
        <w:rPr>
          <w:rFonts w:cstheme="minorHAnsi"/>
        </w:rPr>
        <w:t>governance</w:t>
      </w:r>
      <w:proofErr w:type="spellEnd"/>
      <w:r w:rsidR="008334B2">
        <w:rPr>
          <w:rFonts w:cstheme="minorHAnsi"/>
        </w:rPr>
        <w:t xml:space="preserve"> dei Piani di 22 Stati Membri) che assegna al Piano italiano un punteggio piuttosto modesto (33/100) segnalando carenze in particolare nell’assenza di specifiche sull’accessibilità a informazioni in chiaro (open data) sulle spese, informazioni sui recettori finali e un impegno a pubblicare i report della Commissione e degli audit. </w:t>
      </w:r>
      <w:r w:rsidR="00F63F52">
        <w:rPr>
          <w:rFonts w:cstheme="minorHAnsi"/>
        </w:rPr>
        <w:t>Se</w:t>
      </w:r>
      <w:r w:rsidR="008334B2">
        <w:rPr>
          <w:rFonts w:cstheme="minorHAnsi"/>
        </w:rPr>
        <w:t xml:space="preserve"> il livello di trasparenza nei Piani analizzati non è elevato (solo quattro superano la soglia 50/100)</w:t>
      </w:r>
      <w:r w:rsidR="00F63F52">
        <w:rPr>
          <w:rFonts w:cstheme="minorHAnsi"/>
        </w:rPr>
        <w:t>,</w:t>
      </w:r>
      <w:r w:rsidR="008334B2">
        <w:rPr>
          <w:rFonts w:cstheme="minorHAnsi"/>
        </w:rPr>
        <w:t xml:space="preserve"> il Piano italiano è sopravanzato in questa valutazione da quelli di Romania, Svezia, Bulgaria e Cipro.</w:t>
      </w:r>
    </w:p>
    <w:p w14:paraId="34B9765D" w14:textId="2ED3177B" w:rsidR="002A4CDA" w:rsidRDefault="002A4CDA" w:rsidP="002A4CDA">
      <w:pPr>
        <w:jc w:val="both"/>
        <w:rPr>
          <w:rFonts w:cstheme="minorHAnsi"/>
        </w:rPr>
      </w:pPr>
    </w:p>
    <w:p w14:paraId="7338A2EC" w14:textId="2DDF728D" w:rsidR="002A4CDA" w:rsidRDefault="002A4CDA" w:rsidP="002A4CDA">
      <w:pPr>
        <w:jc w:val="both"/>
        <w:rPr>
          <w:rFonts w:cstheme="minorHAnsi"/>
        </w:rPr>
      </w:pPr>
      <w:r>
        <w:rPr>
          <w:rFonts w:cstheme="minorHAnsi"/>
        </w:rPr>
        <w:t>Riguardo alle questioni ambientali in general</w:t>
      </w:r>
      <w:r w:rsidR="00BA12FB">
        <w:rPr>
          <w:rFonts w:cstheme="minorHAnsi"/>
        </w:rPr>
        <w:t>e</w:t>
      </w:r>
      <w:r>
        <w:rPr>
          <w:rFonts w:cstheme="minorHAnsi"/>
        </w:rPr>
        <w:t xml:space="preserve">, e a quelle collegate al cambiamento climatico in particolare, rileviamo che gli allarmi della comunità scientifica sono inascoltati da decenni e ci interroghiamo su come – nell’ambito della realizzazione di questo PNRR – essi verranno presi in considerazione come </w:t>
      </w:r>
      <w:r w:rsidRPr="00F63F52">
        <w:rPr>
          <w:rFonts w:cstheme="minorHAnsi"/>
          <w:b/>
          <w:bCs/>
        </w:rPr>
        <w:t>parametri imprescindibili</w:t>
      </w:r>
      <w:r>
        <w:rPr>
          <w:rFonts w:cstheme="minorHAnsi"/>
        </w:rPr>
        <w:t xml:space="preserve"> </w:t>
      </w:r>
      <w:r w:rsidR="00962EB6">
        <w:rPr>
          <w:rFonts w:cstheme="minorHAnsi"/>
        </w:rPr>
        <w:t>rispetto alla progettazione e realizzazione delle attività previste</w:t>
      </w:r>
      <w:r w:rsidR="00BA12FB">
        <w:rPr>
          <w:rFonts w:cstheme="minorHAnsi"/>
        </w:rPr>
        <w:t xml:space="preserve"> senza cedere a soluzioni di facciata (</w:t>
      </w:r>
      <w:proofErr w:type="spellStart"/>
      <w:r w:rsidR="00BA12FB">
        <w:rPr>
          <w:rFonts w:cstheme="minorHAnsi"/>
        </w:rPr>
        <w:t>greenwashing</w:t>
      </w:r>
      <w:proofErr w:type="spellEnd"/>
      <w:r w:rsidR="00BA12FB">
        <w:rPr>
          <w:rFonts w:cstheme="minorHAnsi"/>
        </w:rPr>
        <w:t>) che purtroppo vediamo proliferare proprio nel momento in cui l’emergenza si fa più acuta.</w:t>
      </w:r>
    </w:p>
    <w:p w14:paraId="013651DD" w14:textId="1BEF3E8A" w:rsidR="00962EB6" w:rsidRDefault="00962EB6" w:rsidP="002A4CDA">
      <w:pPr>
        <w:jc w:val="both"/>
        <w:rPr>
          <w:rFonts w:cstheme="minorHAnsi"/>
        </w:rPr>
      </w:pPr>
    </w:p>
    <w:p w14:paraId="443EF0E7" w14:textId="76783DA7" w:rsidR="00962EB6" w:rsidRDefault="00962EB6" w:rsidP="002A4CDA">
      <w:pPr>
        <w:jc w:val="both"/>
        <w:rPr>
          <w:rFonts w:cstheme="minorHAnsi"/>
        </w:rPr>
      </w:pPr>
      <w:r>
        <w:rPr>
          <w:rFonts w:cstheme="minorHAnsi"/>
        </w:rPr>
        <w:t xml:space="preserve">In tal senso, rileviamo che una più forte garanzia (anche a tutela della cittadinanza, che ne sarebbe rassicurata) potrebbe derivare da un </w:t>
      </w:r>
      <w:r w:rsidRPr="00F63F52">
        <w:rPr>
          <w:rFonts w:cstheme="minorHAnsi"/>
          <w:b/>
          <w:bCs/>
        </w:rPr>
        <w:t>rafforzamento del sistema delle Agenzie Ambientali</w:t>
      </w:r>
      <w:r>
        <w:rPr>
          <w:rFonts w:cstheme="minorHAnsi"/>
        </w:rPr>
        <w:t xml:space="preserve"> (ARPA/ISPRA) non solo riguardo alle </w:t>
      </w:r>
      <w:r w:rsidRPr="00F63F52">
        <w:rPr>
          <w:rFonts w:cstheme="minorHAnsi"/>
          <w:b/>
          <w:bCs/>
        </w:rPr>
        <w:t>competenze</w:t>
      </w:r>
      <w:r>
        <w:rPr>
          <w:rFonts w:cstheme="minorHAnsi"/>
        </w:rPr>
        <w:t xml:space="preserve"> ma anche e soprattutto per quel che concerne la loro </w:t>
      </w:r>
      <w:r w:rsidRPr="00F63F52">
        <w:rPr>
          <w:rFonts w:cstheme="minorHAnsi"/>
          <w:b/>
          <w:bCs/>
        </w:rPr>
        <w:t>autonomia, indipendenza e autorevolezza</w:t>
      </w:r>
      <w:r>
        <w:rPr>
          <w:rFonts w:cstheme="minorHAnsi"/>
        </w:rPr>
        <w:t xml:space="preserve"> rispetto al decisore politico</w:t>
      </w:r>
      <w:r w:rsidR="00BA12FB">
        <w:rPr>
          <w:rFonts w:cstheme="minorHAnsi"/>
        </w:rPr>
        <w:t xml:space="preserve"> e alle indebite ingerenze di soggetti economici a vario titolo interessati.</w:t>
      </w:r>
    </w:p>
    <w:p w14:paraId="489FA03D" w14:textId="7DE23496" w:rsidR="002A4CDA" w:rsidRDefault="002A4CDA" w:rsidP="002A4CDA">
      <w:pPr>
        <w:jc w:val="both"/>
        <w:rPr>
          <w:rFonts w:cstheme="minorHAnsi"/>
        </w:rPr>
      </w:pPr>
    </w:p>
    <w:p w14:paraId="3BA47CAF" w14:textId="1E80DF7F" w:rsidR="00B87911" w:rsidRPr="00B87911" w:rsidRDefault="00BA12FB" w:rsidP="00B87911">
      <w:pPr>
        <w:jc w:val="both"/>
        <w:rPr>
          <w:rFonts w:eastAsia="Times New Roman" w:cstheme="minorHAnsi"/>
          <w:lang w:eastAsia="it-IT"/>
        </w:rPr>
      </w:pPr>
      <w:r w:rsidRPr="00B87911">
        <w:rPr>
          <w:rFonts w:cstheme="minorHAnsi"/>
        </w:rPr>
        <w:t xml:space="preserve">Ancora, </w:t>
      </w:r>
      <w:r w:rsidR="008566F1" w:rsidRPr="00B87911">
        <w:rPr>
          <w:rFonts w:cstheme="minorHAnsi"/>
        </w:rPr>
        <w:t>siamo assolutamente d’accordo sulla necessità di accelerare, e con urgenza, anche mediante processi di semplificazione come quelli contenuti del Decreto in oggetto, l’installazione di nuova generazione da fonti rinnovabili (</w:t>
      </w:r>
      <w:r w:rsidR="008D5C8B" w:rsidRPr="00B87911">
        <w:rPr>
          <w:rFonts w:cstheme="minorHAnsi"/>
        </w:rPr>
        <w:t>l’Italia deve incrementare lo sviluppo delle rinnovabili per circa 6.000MW anno</w:t>
      </w:r>
      <w:r w:rsidR="008566F1" w:rsidRPr="00B87911">
        <w:rPr>
          <w:rFonts w:cstheme="minorHAnsi"/>
        </w:rPr>
        <w:t xml:space="preserve">) e delle necessarie infrastrutture di accumulo e dispacciamento. </w:t>
      </w:r>
      <w:r w:rsidR="00B87911">
        <w:rPr>
          <w:rFonts w:eastAsia="Times New Roman" w:cstheme="minorHAnsi"/>
          <w:color w:val="222222"/>
          <w:shd w:val="clear" w:color="auto" w:fill="FFFFFF"/>
          <w:lang w:eastAsia="it-IT"/>
        </w:rPr>
        <w:t>In particolare,</w:t>
      </w:r>
      <w:r w:rsidR="00B87911" w:rsidRPr="00B87911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al di fuori delle aree sottoposte a vincoli ambientali e vincoli paesaggistici legati a valori storico culturali, le procedure </w:t>
      </w:r>
      <w:r w:rsidR="00B87911">
        <w:rPr>
          <w:rFonts w:eastAsia="Times New Roman" w:cstheme="minorHAnsi"/>
          <w:color w:val="222222"/>
          <w:shd w:val="clear" w:color="auto" w:fill="FFFFFF"/>
          <w:lang w:eastAsia="it-IT"/>
        </w:rPr>
        <w:t>devono</w:t>
      </w:r>
      <w:r w:rsidR="00B87911" w:rsidRPr="00B87911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essere semplificate</w:t>
      </w:r>
      <w:r w:rsidR="00B87911">
        <w:rPr>
          <w:rFonts w:eastAsia="Times New Roman" w:cstheme="minorHAnsi"/>
          <w:color w:val="222222"/>
          <w:shd w:val="clear" w:color="auto" w:fill="FFFFFF"/>
          <w:lang w:eastAsia="it-IT"/>
        </w:rPr>
        <w:t>, ad esempio</w:t>
      </w:r>
      <w:r w:rsidR="00B87911" w:rsidRPr="00B87911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="00B87911">
        <w:rPr>
          <w:rFonts w:eastAsia="Times New Roman" w:cstheme="minorHAnsi"/>
          <w:color w:val="222222"/>
          <w:shd w:val="clear" w:color="auto" w:fill="FFFFFF"/>
          <w:lang w:eastAsia="it-IT"/>
        </w:rPr>
        <w:t>creando</w:t>
      </w:r>
      <w:r w:rsidR="00B87911" w:rsidRPr="00B87911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linee guida ambientali - anche con riferimenti specifici a soluzioni come l'</w:t>
      </w:r>
      <w:proofErr w:type="spellStart"/>
      <w:r w:rsidR="00B87911" w:rsidRPr="00B87911">
        <w:rPr>
          <w:rFonts w:eastAsia="Times New Roman" w:cstheme="minorHAnsi"/>
          <w:color w:val="222222"/>
          <w:shd w:val="clear" w:color="auto" w:fill="FFFFFF"/>
          <w:lang w:eastAsia="it-IT"/>
        </w:rPr>
        <w:t>agrivoltaico</w:t>
      </w:r>
      <w:proofErr w:type="spellEnd"/>
      <w:r w:rsidR="00B87911" w:rsidRPr="00B87911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- per indirizzare verso una corretta </w:t>
      </w:r>
      <w:r w:rsidR="00B87911" w:rsidRPr="00B87911">
        <w:rPr>
          <w:rFonts w:eastAsia="Times New Roman" w:cstheme="minorHAnsi"/>
          <w:color w:val="222222"/>
          <w:shd w:val="clear" w:color="auto" w:fill="FFFFFF"/>
          <w:lang w:eastAsia="it-IT"/>
        </w:rPr>
        <w:lastRenderedPageBreak/>
        <w:t>progettazione. I progetti che rispettano le linee guida dovrebbero avere una più rapida</w:t>
      </w:r>
      <w:r w:rsidR="00B87911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procedura di autorizzazione</w:t>
      </w:r>
      <w:r w:rsidR="00B87911" w:rsidRPr="00B87911">
        <w:rPr>
          <w:rFonts w:eastAsia="Times New Roman" w:cstheme="minorHAnsi"/>
          <w:color w:val="222222"/>
          <w:shd w:val="clear" w:color="auto" w:fill="FFFFFF"/>
          <w:lang w:eastAsia="it-IT"/>
        </w:rPr>
        <w:t>.</w:t>
      </w:r>
    </w:p>
    <w:p w14:paraId="75A55E59" w14:textId="77777777" w:rsidR="008D5C8B" w:rsidRDefault="008D5C8B" w:rsidP="002A4CDA">
      <w:pPr>
        <w:jc w:val="both"/>
        <w:rPr>
          <w:rFonts w:cstheme="minorHAnsi"/>
        </w:rPr>
      </w:pPr>
    </w:p>
    <w:p w14:paraId="6FDD2279" w14:textId="54F572F0" w:rsidR="008566F1" w:rsidRDefault="00B87911" w:rsidP="002A4CDA">
      <w:pPr>
        <w:jc w:val="both"/>
        <w:rPr>
          <w:rFonts w:cstheme="minorHAnsi"/>
        </w:rPr>
      </w:pPr>
      <w:r>
        <w:rPr>
          <w:rFonts w:cstheme="minorHAnsi"/>
        </w:rPr>
        <w:t>Ciò premesso,</w:t>
      </w:r>
      <w:r w:rsidR="008566F1">
        <w:rPr>
          <w:rFonts w:cstheme="minorHAnsi"/>
        </w:rPr>
        <w:t xml:space="preserve"> ci preoccupa la confusione</w:t>
      </w:r>
      <w:r>
        <w:rPr>
          <w:rFonts w:cstheme="minorHAnsi"/>
        </w:rPr>
        <w:t>,</w:t>
      </w:r>
      <w:r w:rsidR="008566F1">
        <w:rPr>
          <w:rFonts w:cstheme="minorHAnsi"/>
        </w:rPr>
        <w:t xml:space="preserve"> che vediamo artatamente diffusa, che spaccia come “amiche del clima” soluzioni collegate – direttamente o (come nel caso del cosiddetto “idrogeno blu”) indirettamente</w:t>
      </w:r>
      <w:r w:rsidR="008D5C8B">
        <w:rPr>
          <w:rFonts w:cstheme="minorHAnsi"/>
        </w:rPr>
        <w:t xml:space="preserve"> -</w:t>
      </w:r>
      <w:r w:rsidR="008566F1">
        <w:rPr>
          <w:rFonts w:cstheme="minorHAnsi"/>
        </w:rPr>
        <w:t xml:space="preserve"> all’estrazione, distribuzione e utilizzo di gas fossile, fonte il cui contributo alla crisi climatica è ben accertata e anzi oggetto di continue revisioni al rialzo. </w:t>
      </w:r>
    </w:p>
    <w:p w14:paraId="0531505F" w14:textId="77777777" w:rsidR="008566F1" w:rsidRDefault="008566F1" w:rsidP="002A4CDA">
      <w:pPr>
        <w:jc w:val="both"/>
        <w:rPr>
          <w:rFonts w:cstheme="minorHAnsi"/>
        </w:rPr>
      </w:pPr>
    </w:p>
    <w:p w14:paraId="6A0867AF" w14:textId="38A02B15" w:rsidR="00BA12FB" w:rsidRPr="00A55846" w:rsidRDefault="008566F1" w:rsidP="00A55846">
      <w:pPr>
        <w:jc w:val="both"/>
        <w:rPr>
          <w:rFonts w:eastAsia="Times New Roman" w:cstheme="minorHAnsi"/>
          <w:lang w:eastAsia="it-IT"/>
        </w:rPr>
      </w:pPr>
      <w:r>
        <w:rPr>
          <w:rFonts w:cstheme="minorHAnsi"/>
        </w:rPr>
        <w:t xml:space="preserve">Insomma: velocizzare cosa? Di recente, il Ministro per la Transizione Energetica ha espresso una Valutazione Ambientale positiva (spacciata come sedicente “atto dovuto”) per nuove concessioni di </w:t>
      </w:r>
      <w:r w:rsidR="00F63F52">
        <w:rPr>
          <w:rFonts w:cstheme="minorHAnsi"/>
        </w:rPr>
        <w:t>estrazione di idrocarburi</w:t>
      </w:r>
      <w:r>
        <w:rPr>
          <w:rFonts w:cstheme="minorHAnsi"/>
        </w:rPr>
        <w:t xml:space="preserve"> che in almeno un caso violano palesemente le norme emanate dal Ministero stesso (ex Ministero Ambiente), ignorando la presenza di un SIC </w:t>
      </w:r>
      <w:r w:rsidRPr="00F63F52">
        <w:rPr>
          <w:rFonts w:cstheme="minorHAnsi"/>
        </w:rPr>
        <w:t>(</w:t>
      </w:r>
      <w:r w:rsidR="00F63F52" w:rsidRPr="00F63F52">
        <w:rPr>
          <w:rFonts w:cstheme="minorHAnsi"/>
        </w:rPr>
        <w:t xml:space="preserve">il </w:t>
      </w:r>
      <w:r w:rsidR="00F63F52" w:rsidRPr="00F63F52">
        <w:rPr>
          <w:rFonts w:eastAsia="Times New Roman" w:cstheme="minorHAnsi"/>
          <w:shd w:val="clear" w:color="auto" w:fill="FFFFFF"/>
          <w:lang w:eastAsia="it-IT"/>
        </w:rPr>
        <w:t>Sic IT3270025 “Adriatico Settentrionale Veneto - Delta del Po”</w:t>
      </w:r>
      <w:r w:rsidR="00A55846">
        <w:rPr>
          <w:rFonts w:eastAsia="Times New Roman" w:cstheme="minorHAnsi"/>
          <w:shd w:val="clear" w:color="auto" w:fill="FFFFFF"/>
          <w:lang w:eastAsia="it-IT"/>
        </w:rPr>
        <w:t>,</w:t>
      </w:r>
      <w:r w:rsidR="00A55846">
        <w:rPr>
          <w:rFonts w:eastAsia="Times New Roman" w:cstheme="minorHAnsi"/>
          <w:lang w:eastAsia="it-IT"/>
        </w:rPr>
        <w:t xml:space="preserve"> </w:t>
      </w:r>
      <w:r w:rsidRPr="00F63F52">
        <w:rPr>
          <w:rFonts w:cstheme="minorHAnsi"/>
        </w:rPr>
        <w:t xml:space="preserve">di recente istituzione – e su pressione delle possibili sanzioni comunitarie a seguito della carente applicazione nazionale delle Direttive Habitat e Uccelli) a meno di 12 </w:t>
      </w:r>
      <w:r>
        <w:rPr>
          <w:rFonts w:cstheme="minorHAnsi"/>
        </w:rPr>
        <w:t>miglia nautiche dalla concessione medesima. Il risultato (oltre a una serie di ricorsi) è che per ora la “velocizzazione” riguarda le trivelle e non le rinnovabili. Come fidarsi, in una situazione del genere?</w:t>
      </w:r>
      <w:r w:rsidR="008D5C8B">
        <w:rPr>
          <w:rFonts w:cstheme="minorHAnsi"/>
        </w:rPr>
        <w:t xml:space="preserve"> </w:t>
      </w:r>
    </w:p>
    <w:p w14:paraId="1622D363" w14:textId="77777777" w:rsidR="00BA12FB" w:rsidRDefault="00BA12FB" w:rsidP="002A4CDA">
      <w:pPr>
        <w:jc w:val="both"/>
        <w:rPr>
          <w:rFonts w:cstheme="minorHAnsi"/>
        </w:rPr>
      </w:pPr>
    </w:p>
    <w:p w14:paraId="033C7223" w14:textId="140F146D" w:rsidR="002A4CDA" w:rsidRDefault="008566F1" w:rsidP="002A4CDA">
      <w:pPr>
        <w:jc w:val="both"/>
        <w:rPr>
          <w:rFonts w:cstheme="minorHAnsi"/>
        </w:rPr>
      </w:pPr>
      <w:r>
        <w:rPr>
          <w:rFonts w:cstheme="minorHAnsi"/>
        </w:rPr>
        <w:t>La questione della “fiducia” dei cittadini è collegata a</w:t>
      </w:r>
      <w:r w:rsidR="008D5C8B">
        <w:rPr>
          <w:rFonts w:cstheme="minorHAnsi"/>
        </w:rPr>
        <w:t xml:space="preserve"> quella</w:t>
      </w:r>
      <w:r>
        <w:rPr>
          <w:rFonts w:cstheme="minorHAnsi"/>
        </w:rPr>
        <w:t xml:space="preserve"> più generale sulla “tenuta” del sistema: </w:t>
      </w:r>
      <w:r w:rsidR="008D5C8B">
        <w:rPr>
          <w:rFonts w:cstheme="minorHAnsi"/>
        </w:rPr>
        <w:t>accelerare un “sistema” fino a ora poco efficace senza renderlo più credibile ed efficace</w:t>
      </w:r>
      <w:r w:rsidR="00962EB6">
        <w:rPr>
          <w:rFonts w:cstheme="minorHAnsi"/>
        </w:rPr>
        <w:t xml:space="preserve"> rischia di </w:t>
      </w:r>
      <w:r w:rsidR="008D5C8B">
        <w:rPr>
          <w:rFonts w:cstheme="minorHAnsi"/>
        </w:rPr>
        <w:t>moltiplicare da un lato</w:t>
      </w:r>
      <w:r w:rsidR="00962EB6">
        <w:rPr>
          <w:rFonts w:cstheme="minorHAnsi"/>
        </w:rPr>
        <w:t xml:space="preserve"> conflitti con le popolazioni e</w:t>
      </w:r>
      <w:r w:rsidR="008D5C8B">
        <w:rPr>
          <w:rFonts w:cstheme="minorHAnsi"/>
        </w:rPr>
        <w:t>, dall’altro gravi</w:t>
      </w:r>
      <w:r w:rsidR="00962EB6">
        <w:rPr>
          <w:rFonts w:cstheme="minorHAnsi"/>
        </w:rPr>
        <w:t xml:space="preserve"> danni ambientali</w:t>
      </w:r>
      <w:r>
        <w:rPr>
          <w:rFonts w:cstheme="minorHAnsi"/>
        </w:rPr>
        <w:t>, in particolare</w:t>
      </w:r>
      <w:r w:rsidR="00962EB6">
        <w:rPr>
          <w:rFonts w:cstheme="minorHAnsi"/>
        </w:rPr>
        <w:t xml:space="preserve"> se non si garantiscono al tempo stesso maggiori capacità di monitoraggio e controllo e sanzioni adeguate.</w:t>
      </w:r>
      <w:r w:rsidR="008D5C8B">
        <w:rPr>
          <w:rFonts w:cstheme="minorHAnsi"/>
        </w:rPr>
        <w:t xml:space="preserve"> </w:t>
      </w:r>
      <w:r w:rsidR="00A55846">
        <w:rPr>
          <w:rFonts w:cstheme="minorHAnsi"/>
        </w:rPr>
        <w:t>D</w:t>
      </w:r>
      <w:r w:rsidR="008D5C8B">
        <w:rPr>
          <w:rFonts w:cstheme="minorHAnsi"/>
        </w:rPr>
        <w:t>a quest’ultimo punto di vista, francamente l’esperienza di Greenpeace non descrive una situazione tranquillizzante.</w:t>
      </w:r>
    </w:p>
    <w:p w14:paraId="1BFDDE08" w14:textId="77777777" w:rsidR="005B3C29" w:rsidRDefault="005B3C29" w:rsidP="002A4CDA">
      <w:pPr>
        <w:jc w:val="both"/>
        <w:rPr>
          <w:rFonts w:cstheme="minorHAnsi"/>
        </w:rPr>
      </w:pPr>
    </w:p>
    <w:p w14:paraId="58E3A6B6" w14:textId="65D72B28" w:rsidR="008D5C8B" w:rsidRDefault="00962EB6" w:rsidP="002A4CDA">
      <w:pPr>
        <w:jc w:val="both"/>
        <w:rPr>
          <w:rFonts w:cstheme="minorHAnsi"/>
        </w:rPr>
      </w:pPr>
      <w:r>
        <w:rPr>
          <w:rFonts w:cstheme="minorHAnsi"/>
        </w:rPr>
        <w:t xml:space="preserve">La nostra esperienza è che in Italia è sin troppo facile riuscire a scivolare tra le maglie di una normativa evidentemente inefficace. </w:t>
      </w:r>
      <w:r w:rsidR="008D5C8B">
        <w:rPr>
          <w:rFonts w:cstheme="minorHAnsi"/>
        </w:rPr>
        <w:t xml:space="preserve">Ad esempio, assai spesso verifichiamo che la sanzione economica comminata (o minacciata) </w:t>
      </w:r>
      <w:r w:rsidR="006B623D">
        <w:rPr>
          <w:rFonts w:cstheme="minorHAnsi"/>
        </w:rPr>
        <w:t xml:space="preserve">a </w:t>
      </w:r>
      <w:r w:rsidR="008D5C8B">
        <w:rPr>
          <w:rFonts w:cstheme="minorHAnsi"/>
        </w:rPr>
        <w:t xml:space="preserve">un operatore accusato di gravi violazioni è equivalente alla sola somma che lo stesso soggetto avrebbe speso se avesse seguito correttamente le norme. Ovvio che in condizioni come queste il rischio “vale la candela”. </w:t>
      </w:r>
    </w:p>
    <w:p w14:paraId="228AAE9C" w14:textId="77777777" w:rsidR="008D5C8B" w:rsidRDefault="008D5C8B" w:rsidP="002A4CDA">
      <w:pPr>
        <w:jc w:val="both"/>
        <w:rPr>
          <w:rFonts w:cstheme="minorHAnsi"/>
        </w:rPr>
      </w:pPr>
    </w:p>
    <w:p w14:paraId="56D3C24E" w14:textId="37A848E6" w:rsidR="00962EB6" w:rsidRDefault="008D5C8B" w:rsidP="002A4CDA">
      <w:pPr>
        <w:jc w:val="both"/>
        <w:rPr>
          <w:rFonts w:cstheme="minorHAnsi"/>
        </w:rPr>
      </w:pPr>
      <w:r>
        <w:rPr>
          <w:rFonts w:cstheme="minorHAnsi"/>
        </w:rPr>
        <w:t xml:space="preserve">Ancora peggio quanto abbiamo visto nel </w:t>
      </w:r>
      <w:r w:rsidR="00962EB6">
        <w:rPr>
          <w:rFonts w:cstheme="minorHAnsi"/>
        </w:rPr>
        <w:t>caso delle “balle di Piombino”, in cui una fidejussione di milioni di euro non è stata utilizzata (anzi: è stata restituita dalla Regione Toscana) per il recupero di tonnellate di rifiuti plastici sversati in mare</w:t>
      </w:r>
      <w:r>
        <w:rPr>
          <w:rFonts w:cstheme="minorHAnsi"/>
        </w:rPr>
        <w:t xml:space="preserve">. La motivazione è stata che il soggetto che aveva versato la garanzia non era quello che “fisicamente” trasportava la merce! </w:t>
      </w:r>
      <w:r w:rsidR="00962EB6">
        <w:rPr>
          <w:rFonts w:cstheme="minorHAnsi"/>
        </w:rPr>
        <w:t>Dopo anni</w:t>
      </w:r>
      <w:r>
        <w:rPr>
          <w:rFonts w:cstheme="minorHAnsi"/>
        </w:rPr>
        <w:t xml:space="preserve"> di abbandono in mare,</w:t>
      </w:r>
      <w:r w:rsidR="00962EB6">
        <w:rPr>
          <w:rFonts w:cstheme="minorHAnsi"/>
        </w:rPr>
        <w:t xml:space="preserve"> è stato necessario un intervento a spese della collettività per porre solo parziale rimedio a un disastro sul quale un intervento tempestivo sarebbe stato di certo più risolutivo</w:t>
      </w:r>
      <w:r>
        <w:rPr>
          <w:rFonts w:cstheme="minorHAnsi"/>
        </w:rPr>
        <w:t xml:space="preserve"> (e non a carico dei cittadini). </w:t>
      </w:r>
    </w:p>
    <w:p w14:paraId="4E018023" w14:textId="2A9D9DBA" w:rsidR="008D5C8B" w:rsidRDefault="008D5C8B" w:rsidP="002A4CDA">
      <w:pPr>
        <w:jc w:val="both"/>
        <w:rPr>
          <w:rFonts w:cstheme="minorHAnsi"/>
        </w:rPr>
      </w:pPr>
    </w:p>
    <w:p w14:paraId="48A94950" w14:textId="2E3FA522" w:rsidR="00BE5BC5" w:rsidRDefault="008D5C8B" w:rsidP="002A4CDA">
      <w:pPr>
        <w:jc w:val="both"/>
        <w:rPr>
          <w:rFonts w:cstheme="minorHAnsi"/>
        </w:rPr>
      </w:pPr>
      <w:r>
        <w:rPr>
          <w:rFonts w:cstheme="minorHAnsi"/>
        </w:rPr>
        <w:t xml:space="preserve">In conclusione, premesse le citate critiche al PNRR e rilevata una </w:t>
      </w:r>
      <w:proofErr w:type="spellStart"/>
      <w:r>
        <w:rPr>
          <w:rFonts w:cstheme="minorHAnsi"/>
        </w:rPr>
        <w:t>governance</w:t>
      </w:r>
      <w:proofErr w:type="spellEnd"/>
      <w:r>
        <w:rPr>
          <w:rFonts w:cstheme="minorHAnsi"/>
        </w:rPr>
        <w:t xml:space="preserve"> al momento scollegata dal serio conseguimento degli obiettivi climatici (e ambientali), chiediamo con forza che la velocizzazione dei procedimenti si faccia </w:t>
      </w:r>
      <w:r w:rsidR="009A7C5B">
        <w:rPr>
          <w:rFonts w:cstheme="minorHAnsi"/>
        </w:rPr>
        <w:t>escludendo totalmente ogni favoritismo alle fonti fossili e che si creino le condizioni di credibilità per affrontare e risolvere celermente eventuali conflitti con le comunità locali.</w:t>
      </w:r>
    </w:p>
    <w:p w14:paraId="5AAED5ED" w14:textId="4ABCA34A" w:rsidR="00A55846" w:rsidRDefault="00A55846" w:rsidP="002A4CDA">
      <w:pPr>
        <w:jc w:val="both"/>
        <w:rPr>
          <w:rFonts w:cstheme="minorHAnsi"/>
        </w:rPr>
      </w:pPr>
    </w:p>
    <w:p w14:paraId="41D12E17" w14:textId="10E20AE4" w:rsidR="00A55846" w:rsidRDefault="00A55846" w:rsidP="002A4CDA">
      <w:pPr>
        <w:jc w:val="both"/>
        <w:rPr>
          <w:rFonts w:cstheme="minorHAnsi"/>
        </w:rPr>
      </w:pPr>
    </w:p>
    <w:p w14:paraId="4AC87AD5" w14:textId="081D2B74" w:rsidR="00A55846" w:rsidRDefault="00A55846" w:rsidP="002A4CDA">
      <w:pPr>
        <w:jc w:val="both"/>
        <w:rPr>
          <w:rFonts w:cstheme="minorHAnsi"/>
        </w:rPr>
      </w:pPr>
    </w:p>
    <w:p w14:paraId="6218AE19" w14:textId="42F3EFCE" w:rsidR="00A55846" w:rsidRPr="009A7C5B" w:rsidRDefault="00A55846" w:rsidP="00A55846">
      <w:pPr>
        <w:jc w:val="right"/>
        <w:rPr>
          <w:rFonts w:cstheme="minorHAnsi"/>
        </w:rPr>
      </w:pPr>
      <w:r>
        <w:rPr>
          <w:rFonts w:cstheme="minorHAnsi"/>
        </w:rPr>
        <w:t>Roma, 17 giugno 2021</w:t>
      </w:r>
    </w:p>
    <w:sectPr w:rsidR="00A55846" w:rsidRPr="009A7C5B" w:rsidSect="00711BC2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EAC06" w14:textId="77777777" w:rsidR="00F71737" w:rsidRDefault="00F71737" w:rsidP="00A55846">
      <w:r>
        <w:separator/>
      </w:r>
    </w:p>
  </w:endnote>
  <w:endnote w:type="continuationSeparator" w:id="0">
    <w:p w14:paraId="228CB781" w14:textId="77777777" w:rsidR="00F71737" w:rsidRDefault="00F71737" w:rsidP="00A5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9505A" w14:textId="77777777" w:rsidR="00F71737" w:rsidRDefault="00F71737" w:rsidP="00A55846">
      <w:r>
        <w:separator/>
      </w:r>
    </w:p>
  </w:footnote>
  <w:footnote w:type="continuationSeparator" w:id="0">
    <w:p w14:paraId="4EF9CE18" w14:textId="77777777" w:rsidR="00F71737" w:rsidRDefault="00F71737" w:rsidP="00A5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6068C" w14:textId="278B3ED1" w:rsidR="00A55846" w:rsidRDefault="00A55846">
    <w:pPr>
      <w:pStyle w:val="Intestazione"/>
    </w:pPr>
    <w:r w:rsidRPr="007007F5">
      <w:rPr>
        <w:noProof/>
        <w:sz w:val="32"/>
        <w:lang w:eastAsia="it-IT"/>
      </w:rPr>
      <w:drawing>
        <wp:inline distT="0" distB="0" distL="0" distR="0" wp14:anchorId="23F59D9C" wp14:editId="20AC40AA">
          <wp:extent cx="2263775" cy="479425"/>
          <wp:effectExtent l="0" t="0" r="0" b="0"/>
          <wp:docPr id="2" name="Immagine 2" descr="Immagine che contiene testo, clipart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204C"/>
    <w:multiLevelType w:val="hybridMultilevel"/>
    <w:tmpl w:val="E96A3D0A"/>
    <w:lvl w:ilvl="0" w:tplc="C3DC6B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DA"/>
    <w:rsid w:val="002A4CDA"/>
    <w:rsid w:val="003D061C"/>
    <w:rsid w:val="00405EA6"/>
    <w:rsid w:val="005B3C29"/>
    <w:rsid w:val="006B623D"/>
    <w:rsid w:val="00711BC2"/>
    <w:rsid w:val="00723BD1"/>
    <w:rsid w:val="008334B2"/>
    <w:rsid w:val="008566F1"/>
    <w:rsid w:val="008D5C8B"/>
    <w:rsid w:val="00962EB6"/>
    <w:rsid w:val="009A7C5B"/>
    <w:rsid w:val="00A55846"/>
    <w:rsid w:val="00B34C52"/>
    <w:rsid w:val="00B87911"/>
    <w:rsid w:val="00BA12FB"/>
    <w:rsid w:val="00BE5BC5"/>
    <w:rsid w:val="00C816FE"/>
    <w:rsid w:val="00F34918"/>
    <w:rsid w:val="00F63F52"/>
    <w:rsid w:val="00F71737"/>
    <w:rsid w:val="00F8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5D24B0"/>
  <w15:chartTrackingRefBased/>
  <w15:docId w15:val="{03927D08-CC12-A042-8070-18285B64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CDA"/>
    <w:pPr>
      <w:ind w:left="720"/>
      <w:contextualSpacing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334B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34B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55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846"/>
  </w:style>
  <w:style w:type="paragraph" w:styleId="Pidipagina">
    <w:name w:val="footer"/>
    <w:basedOn w:val="Normale"/>
    <w:link w:val="PidipaginaCarattere"/>
    <w:uiPriority w:val="99"/>
    <w:unhideWhenUsed/>
    <w:rsid w:val="00A558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peace.org/italy/rapporto/11763/italia-1-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fit.awsassets.panda.org/downloads/dettaglio_dell_analisi_del_pnrr_da_parte_di__wwf__greenpeace__legambiente__kyoto_clu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ccess-info.org/wp-content/uploads/RFF_transparenc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Gianni</dc:creator>
  <cp:keywords/>
  <dc:description/>
  <cp:lastModifiedBy>Cdd</cp:lastModifiedBy>
  <cp:revision>2</cp:revision>
  <dcterms:created xsi:type="dcterms:W3CDTF">2021-06-17T11:52:00Z</dcterms:created>
  <dcterms:modified xsi:type="dcterms:W3CDTF">2021-06-17T11:52:00Z</dcterms:modified>
</cp:coreProperties>
</file>